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521"/>
      </w:tblGrid>
      <w:tr w:rsidR="00E247A2" w:rsidRPr="00E247A2" w:rsidTr="00AD002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2" w:rsidRPr="00AD0020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AD002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AD0020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AD002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103/2006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Desmembra área de terra de imóvel rural para fins de loteamento urbano, e dá outras providências.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104/2006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Dispõe sobre as sansões administrativas a Estabelecimento Bancário, infrator do direito do consumidor e dá outras providências.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105/2006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106/2006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de 2007 e dá outras providências.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107/2006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Autoriza a concessão de auxílio financeiro a estudantes de cursos técnicos e dá outras providências correlatas.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108/2006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Cria o FUNDO MUNICIPAL DE HABITAÇÃO DE INTERESSE SOCIAL - FHIS e institui o Conselho Gestor do FHIS.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109/2006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Cria incentivo Fiscal para instalação de Unidade Industrial </w:t>
            </w:r>
            <w:proofErr w:type="spellStart"/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Sucro</w:t>
            </w:r>
            <w:proofErr w:type="spellEnd"/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-Alcooleira, no Município de Nossa Senhora das Dores e dá outras providências.</w:t>
            </w:r>
          </w:p>
        </w:tc>
      </w:tr>
      <w:tr w:rsidR="00E247A2" w:rsidRPr="00E247A2" w:rsidTr="00AD0020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Lei nº 110/2006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2" w:rsidRPr="00E247A2" w:rsidRDefault="00E247A2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47A2">
              <w:rPr>
                <w:rFonts w:ascii="Calibri" w:eastAsia="Times New Roman" w:hAnsi="Calibri" w:cs="Calibri"/>
                <w:color w:val="000000"/>
                <w:lang w:eastAsia="pt-BR"/>
              </w:rPr>
              <w:t>Estima receita e fixa despesa do Município de Nossa Senhora das Dores, Estado de Sergipe, para o exercício financeiro de 2007 e dá outras providências correlatas.</w:t>
            </w:r>
          </w:p>
        </w:tc>
      </w:tr>
      <w:tr w:rsidR="00AD0020" w:rsidRPr="00E247A2" w:rsidTr="00AD00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20" w:rsidRPr="00E247A2" w:rsidRDefault="00AD0020" w:rsidP="00E2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Complementar nº 003/2006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20" w:rsidRPr="00E247A2" w:rsidRDefault="00AD0020" w:rsidP="00E24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Dispõe sobre o Plano Diretor de Desenvolvimento Urbano e Ambiental, Cria o sistema de planejamento e gestão do Município de Nossa Senhora das Dores, e dá outras providências.</w:t>
            </w:r>
            <w:bookmarkStart w:id="0" w:name="_GoBack"/>
            <w:bookmarkEnd w:id="0"/>
          </w:p>
        </w:tc>
      </w:tr>
    </w:tbl>
    <w:p w:rsidR="00E03E33" w:rsidRDefault="00E03E33"/>
    <w:sectPr w:rsidR="00E03E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D3" w:rsidRDefault="00B344D3" w:rsidP="00AD0020">
      <w:pPr>
        <w:spacing w:after="0" w:line="240" w:lineRule="auto"/>
      </w:pPr>
      <w:r>
        <w:separator/>
      </w:r>
    </w:p>
  </w:endnote>
  <w:endnote w:type="continuationSeparator" w:id="0">
    <w:p w:rsidR="00B344D3" w:rsidRDefault="00B344D3" w:rsidP="00AD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D3" w:rsidRDefault="00B344D3" w:rsidP="00AD0020">
      <w:pPr>
        <w:spacing w:after="0" w:line="240" w:lineRule="auto"/>
      </w:pPr>
      <w:r>
        <w:separator/>
      </w:r>
    </w:p>
  </w:footnote>
  <w:footnote w:type="continuationSeparator" w:id="0">
    <w:p w:rsidR="00B344D3" w:rsidRDefault="00B344D3" w:rsidP="00AD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20" w:rsidRDefault="00AD0020" w:rsidP="00AD0020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5E9F5982" wp14:editId="2239ADF7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020" w:rsidRDefault="00AD0020" w:rsidP="00AD0020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AD0020" w:rsidRDefault="00AD0020" w:rsidP="00AD0020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AD0020" w:rsidRDefault="00AD0020" w:rsidP="00AD0020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AD0020" w:rsidRDefault="00AD0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2"/>
    <w:rsid w:val="00AD0020"/>
    <w:rsid w:val="00B344D3"/>
    <w:rsid w:val="00E03E33"/>
    <w:rsid w:val="00E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25EB-377C-4969-81AA-D9B1A4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20"/>
  </w:style>
  <w:style w:type="paragraph" w:styleId="Rodap">
    <w:name w:val="footer"/>
    <w:basedOn w:val="Normal"/>
    <w:link w:val="RodapChar"/>
    <w:uiPriority w:val="99"/>
    <w:unhideWhenUsed/>
    <w:rsid w:val="00AD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2020-05-13T17:44:00Z</dcterms:created>
  <dcterms:modified xsi:type="dcterms:W3CDTF">2020-05-15T12:50:00Z</dcterms:modified>
</cp:coreProperties>
</file>